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4A13" w14:textId="77777777" w:rsidR="00CA25B4" w:rsidRPr="00CA25B4" w:rsidRDefault="00CA25B4" w:rsidP="00CA25B4">
      <w:r w:rsidRPr="00CA25B4">
        <w:rPr>
          <w:b/>
          <w:bCs/>
        </w:rPr>
        <w:t>Joint Statement from Canada’s Education Leaders</w:t>
      </w:r>
      <w:r w:rsidRPr="00CA25B4">
        <w:t> </w:t>
      </w:r>
    </w:p>
    <w:p w14:paraId="2B7BB171" w14:textId="77777777" w:rsidR="00CA25B4" w:rsidRPr="00CA25B4" w:rsidRDefault="00CA25B4" w:rsidP="00CA25B4">
      <w:r w:rsidRPr="00CA25B4">
        <w:rPr>
          <w:b/>
          <w:bCs/>
        </w:rPr>
        <w:t>In Opposition to the Use of the Notwithstanding Clause in Labour Negotiations</w:t>
      </w:r>
      <w:r w:rsidRPr="00CA25B4">
        <w:t> </w:t>
      </w:r>
    </w:p>
    <w:p w14:paraId="4352FD50" w14:textId="77777777" w:rsidR="00CA25B4" w:rsidRPr="00CA25B4" w:rsidRDefault="00CA25B4" w:rsidP="00CA25B4">
      <w:r w:rsidRPr="00CA25B4">
        <w:t> </w:t>
      </w:r>
    </w:p>
    <w:p w14:paraId="61CCC7EB" w14:textId="6491C91F" w:rsidR="00CA25B4" w:rsidRPr="00CA25B4" w:rsidRDefault="00CA25B4" w:rsidP="00CA25B4">
      <w:r w:rsidRPr="00CA25B4">
        <w:t>Teacher organization presidents from across Canada, representing more than 420,000 educators, met in Banff, Alberta, on June 1, 2026, to discuss the potential use of the Notwithstanding Clause (Section 33 of the </w:t>
      </w:r>
      <w:r w:rsidRPr="00CA25B4">
        <w:rPr>
          <w:i/>
          <w:iCs/>
        </w:rPr>
        <w:t>Canadian Charter of Rights and Freedoms</w:t>
      </w:r>
      <w:r w:rsidRPr="00CA25B4">
        <w:t>) by provincial</w:t>
      </w:r>
      <w:r w:rsidR="004359EA">
        <w:t>/territorial</w:t>
      </w:r>
      <w:r w:rsidRPr="00CA25B4">
        <w:t xml:space="preserve"> governments for issues it was never intended for, as it has been in Alberta. </w:t>
      </w:r>
    </w:p>
    <w:p w14:paraId="081E64C1" w14:textId="694A7135" w:rsidR="00CA25B4" w:rsidRPr="00CA25B4" w:rsidRDefault="00CA25B4" w:rsidP="00CA25B4">
      <w:r w:rsidRPr="00CA25B4">
        <w:t xml:space="preserve">The presidents affirmed their shared commitment to the democratic rights of teachers and all workers and stand united in their condemnation of the use of the Notwithstanding Clause as a tool to override constitutionally protected rights to freedom of association, collective bargaining, and </w:t>
      </w:r>
      <w:r w:rsidR="000A286C">
        <w:t>s</w:t>
      </w:r>
      <w:r w:rsidRPr="00CA25B4">
        <w:t>trike</w:t>
      </w:r>
      <w:r w:rsidR="000A286C">
        <w:t xml:space="preserve"> action</w:t>
      </w:r>
      <w:r w:rsidRPr="00CA25B4">
        <w:t>. </w:t>
      </w:r>
    </w:p>
    <w:p w14:paraId="110C068D" w14:textId="77777777" w:rsidR="00CA25B4" w:rsidRPr="00CA25B4" w:rsidRDefault="00CA25B4" w:rsidP="00CA25B4">
      <w:r w:rsidRPr="00CA25B4">
        <w:rPr>
          <w:u w:val="single"/>
        </w:rPr>
        <w:t>A Growing Pattern of Overreach</w:t>
      </w:r>
      <w:r w:rsidRPr="00CA25B4">
        <w:t> </w:t>
      </w:r>
    </w:p>
    <w:p w14:paraId="1563F8D0" w14:textId="77777777" w:rsidR="00CA25B4" w:rsidRPr="00CA25B4" w:rsidRDefault="00CA25B4" w:rsidP="00CA25B4">
      <w:r w:rsidRPr="00CA25B4">
        <w:t>The Notwithstanding Clause was designed as a safeguard to be invoked only in exceptional and demonstrably justified circumstances. It was never intended to be a routine tool for governments to bypass the courts and silence workers amid legitimate labour disputes. </w:t>
      </w:r>
    </w:p>
    <w:p w14:paraId="374CEFC5" w14:textId="776361C7" w:rsidR="00CA25B4" w:rsidRPr="00CA25B4" w:rsidRDefault="00CA25B4" w:rsidP="00CA25B4">
      <w:r w:rsidRPr="00CA25B4">
        <w:t>In the past five years, the Notwithstanding Clause has been used more frequently to deny human and democratic rights than at any other time in our lifetimes. Recently, Premiers in Alberta, Saskatchewan, Ontario, and Quebec have invoked the Notwithstanding Clause in the following legislation: </w:t>
      </w:r>
    </w:p>
    <w:p w14:paraId="1D9738DA" w14:textId="77777777" w:rsidR="00CA25B4" w:rsidRPr="00CA25B4" w:rsidRDefault="00CA25B4" w:rsidP="00CA25B4">
      <w:pPr>
        <w:numPr>
          <w:ilvl w:val="0"/>
          <w:numId w:val="1"/>
        </w:numPr>
      </w:pPr>
      <w:r w:rsidRPr="00CA25B4">
        <w:rPr>
          <w:i/>
          <w:iCs/>
        </w:rPr>
        <w:t>Bill 2, “Back to School Act”</w:t>
      </w:r>
      <w:r w:rsidRPr="00CA25B4">
        <w:t> in Alberta, 2025 </w:t>
      </w:r>
    </w:p>
    <w:p w14:paraId="4D6CC655" w14:textId="77777777" w:rsidR="00CA25B4" w:rsidRPr="00CA25B4" w:rsidRDefault="00CA25B4" w:rsidP="00CA25B4">
      <w:pPr>
        <w:numPr>
          <w:ilvl w:val="0"/>
          <w:numId w:val="2"/>
        </w:numPr>
      </w:pPr>
      <w:r w:rsidRPr="00CA25B4">
        <w:rPr>
          <w:i/>
          <w:iCs/>
        </w:rPr>
        <w:t>Bill 9, “Protecting Alberta’s Children Statutes Amendment Act”</w:t>
      </w:r>
      <w:r w:rsidRPr="00CA25B4">
        <w:t> in Alberta, 2025 </w:t>
      </w:r>
    </w:p>
    <w:p w14:paraId="61017B20" w14:textId="77777777" w:rsidR="00CA25B4" w:rsidRPr="00CA25B4" w:rsidRDefault="00CA25B4" w:rsidP="00CA25B4">
      <w:pPr>
        <w:numPr>
          <w:ilvl w:val="0"/>
          <w:numId w:val="3"/>
        </w:numPr>
      </w:pPr>
      <w:r w:rsidRPr="00CA25B4">
        <w:rPr>
          <w:i/>
          <w:iCs/>
        </w:rPr>
        <w:t>Bill 137, “Parents’ Bill of Rights”</w:t>
      </w:r>
      <w:r w:rsidRPr="00CA25B4">
        <w:t> in Saskatchewan, 2023 </w:t>
      </w:r>
    </w:p>
    <w:p w14:paraId="10DD6913" w14:textId="77777777" w:rsidR="00CA25B4" w:rsidRPr="00CA25B4" w:rsidRDefault="00CA25B4" w:rsidP="00CA25B4">
      <w:pPr>
        <w:numPr>
          <w:ilvl w:val="0"/>
          <w:numId w:val="4"/>
        </w:numPr>
      </w:pPr>
      <w:r w:rsidRPr="00CA25B4">
        <w:rPr>
          <w:i/>
          <w:iCs/>
        </w:rPr>
        <w:t>Bill 28, “Keeping Students in Class Act”</w:t>
      </w:r>
      <w:r w:rsidRPr="00CA25B4">
        <w:t> in Ontario, 2022 </w:t>
      </w:r>
    </w:p>
    <w:p w14:paraId="1914A757" w14:textId="77777777" w:rsidR="00CA25B4" w:rsidRPr="00CA25B4" w:rsidRDefault="00CA25B4" w:rsidP="00CA25B4">
      <w:pPr>
        <w:numPr>
          <w:ilvl w:val="0"/>
          <w:numId w:val="5"/>
        </w:numPr>
      </w:pPr>
      <w:r w:rsidRPr="00CA25B4">
        <w:rPr>
          <w:i/>
          <w:iCs/>
        </w:rPr>
        <w:t>Bill 307, “Protecting Elections and Defending Democracy Act”</w:t>
      </w:r>
      <w:r w:rsidRPr="00CA25B4">
        <w:t> in Ontario, 2021 </w:t>
      </w:r>
    </w:p>
    <w:p w14:paraId="4864793D" w14:textId="08CC6610" w:rsidR="00CA25B4" w:rsidRPr="00CA25B4" w:rsidRDefault="00CA25B4" w:rsidP="00CA25B4">
      <w:pPr>
        <w:numPr>
          <w:ilvl w:val="0"/>
          <w:numId w:val="6"/>
        </w:numPr>
      </w:pPr>
      <w:r w:rsidRPr="00CA25B4">
        <w:rPr>
          <w:i/>
          <w:iCs/>
        </w:rPr>
        <w:t>Bill 96, “</w:t>
      </w:r>
      <w:r w:rsidR="00A326BA" w:rsidRPr="00A326BA">
        <w:rPr>
          <w:i/>
          <w:iCs/>
        </w:rPr>
        <w:t>An Act respecting French, the official and common language of Québec</w:t>
      </w:r>
      <w:r w:rsidRPr="00CA25B4">
        <w:rPr>
          <w:i/>
          <w:iCs/>
        </w:rPr>
        <w:t>”</w:t>
      </w:r>
      <w:r w:rsidRPr="00CA25B4">
        <w:t> in Quebec, 2022 </w:t>
      </w:r>
    </w:p>
    <w:p w14:paraId="518C01AF" w14:textId="77777777" w:rsidR="00CA25B4" w:rsidRPr="00CA25B4" w:rsidRDefault="00CA25B4" w:rsidP="00CA25B4">
      <w:r w:rsidRPr="00CA25B4">
        <w:t> </w:t>
      </w:r>
    </w:p>
    <w:p w14:paraId="03297F54" w14:textId="499783B5" w:rsidR="00CA25B4" w:rsidRPr="00CA25B4" w:rsidRDefault="00CA25B4" w:rsidP="00CA25B4">
      <w:r w:rsidRPr="00CA25B4">
        <w:t>When governments invoke the Notwithstanding Clause to end labour disputes, they are not simply legislating. They are telling workers that their rights are conditional</w:t>
      </w:r>
      <w:r w:rsidR="00A37A0C">
        <w:t xml:space="preserve"> and</w:t>
      </w:r>
      <w:r w:rsidRPr="00CA25B4">
        <w:t xml:space="preserve"> that the </w:t>
      </w:r>
      <w:r w:rsidRPr="00CA25B4">
        <w:rPr>
          <w:i/>
          <w:iCs/>
        </w:rPr>
        <w:t>Charter</w:t>
      </w:r>
      <w:r w:rsidRPr="00CA25B4">
        <w:t xml:space="preserve"> protections all Canadians depend upon can be switched off when it is </w:t>
      </w:r>
      <w:r w:rsidRPr="00CA25B4">
        <w:lastRenderedPageBreak/>
        <w:t>politically convenient to do so. This is a threat not only to teachers, but to every worker and every citizen in this country. </w:t>
      </w:r>
    </w:p>
    <w:p w14:paraId="6A066A71" w14:textId="77777777" w:rsidR="00CA25B4" w:rsidRPr="00CA25B4" w:rsidRDefault="00CA25B4" w:rsidP="00CA25B4">
      <w:r w:rsidRPr="00CA25B4">
        <w:rPr>
          <w:u w:val="single"/>
        </w:rPr>
        <w:t>Our Collective Position</w:t>
      </w:r>
      <w:r w:rsidRPr="00CA25B4">
        <w:t> </w:t>
      </w:r>
    </w:p>
    <w:p w14:paraId="132E6259" w14:textId="77777777" w:rsidR="00CA25B4" w:rsidRPr="00CA25B4" w:rsidRDefault="00CA25B4" w:rsidP="00CA25B4">
      <w:r w:rsidRPr="00CA25B4">
        <w:t>The undersigned presidents, representing teachers and education workers in every province and territory across Canada, collectively and unequivocally declare: </w:t>
      </w:r>
    </w:p>
    <w:p w14:paraId="757FAD05" w14:textId="63BAE825" w:rsidR="00CA25B4" w:rsidRPr="00CA25B4" w:rsidRDefault="00CA25B4" w:rsidP="00CA25B4">
      <w:pPr>
        <w:numPr>
          <w:ilvl w:val="0"/>
          <w:numId w:val="7"/>
        </w:numPr>
      </w:pPr>
      <w:r w:rsidRPr="00CA25B4">
        <w:t xml:space="preserve">The use of the Notwithstanding Clause during labour negotiations is an abuse of legislative power. Governments must engage in good-faith collective bargaining, not weaponize the </w:t>
      </w:r>
      <w:r w:rsidR="004359EA">
        <w:t>C</w:t>
      </w:r>
      <w:r w:rsidRPr="00CA25B4">
        <w:t>onstitution to silence workers. </w:t>
      </w:r>
    </w:p>
    <w:p w14:paraId="3E1D9DF7" w14:textId="77777777" w:rsidR="00CA25B4" w:rsidRPr="00CA25B4" w:rsidRDefault="00CA25B4" w:rsidP="00CA25B4">
      <w:pPr>
        <w:numPr>
          <w:ilvl w:val="0"/>
          <w:numId w:val="8"/>
        </w:numPr>
      </w:pPr>
      <w:r w:rsidRPr="00CA25B4">
        <w:t>Teachers’ rights to freedom of association, collective bargaining, and the right to strike are constitutionally protected and must remain so. No government should be able to pre-emptively nullify these rights and block the courts from providing recourse. </w:t>
      </w:r>
    </w:p>
    <w:p w14:paraId="1141DE08" w14:textId="5BBA09F4" w:rsidR="00CA25B4" w:rsidRPr="00CA25B4" w:rsidRDefault="00CA25B4" w:rsidP="00CA25B4">
      <w:pPr>
        <w:numPr>
          <w:ilvl w:val="0"/>
          <w:numId w:val="9"/>
        </w:numPr>
      </w:pPr>
      <w:r w:rsidRPr="00CA25B4">
        <w:t xml:space="preserve">The Notwithstanding Clause must only ever be used as a last resort, after judicial review has been permitted. Its pre-emptive use to shield legislation from </w:t>
      </w:r>
      <w:r w:rsidRPr="000A286C">
        <w:rPr>
          <w:i/>
          <w:iCs/>
        </w:rPr>
        <w:t>Charter</w:t>
      </w:r>
      <w:r w:rsidRPr="00CA25B4">
        <w:t xml:space="preserve"> challenge</w:t>
      </w:r>
      <w:r w:rsidR="00A37A0C">
        <w:t>s</w:t>
      </w:r>
      <w:r w:rsidRPr="00CA25B4">
        <w:t xml:space="preserve"> is a subversion of the democratic rule of law. </w:t>
      </w:r>
    </w:p>
    <w:p w14:paraId="26EF8F75" w14:textId="77777777" w:rsidR="00CA25B4" w:rsidRPr="00CA25B4" w:rsidRDefault="00CA25B4" w:rsidP="00CA25B4">
      <w:pPr>
        <w:numPr>
          <w:ilvl w:val="0"/>
          <w:numId w:val="10"/>
        </w:numPr>
      </w:pPr>
      <w:r w:rsidRPr="00CA25B4">
        <w:t>The implications of this trend extend far beyond education, threatening every worker and citizen in this country. What is happening to teachers today can happen to any worker, in any sector, tomorrow. This is a national issue requiring a national response. </w:t>
      </w:r>
    </w:p>
    <w:p w14:paraId="4F5F37F8" w14:textId="77777777" w:rsidR="00CA25B4" w:rsidRPr="00CA25B4" w:rsidRDefault="00CA25B4" w:rsidP="00CA25B4">
      <w:r w:rsidRPr="00CA25B4">
        <w:t>Together we call on all levels of government to take the following immediate actions: </w:t>
      </w:r>
    </w:p>
    <w:p w14:paraId="12F31557" w14:textId="5A773B5A" w:rsidR="00CA25B4" w:rsidRPr="00CA25B4" w:rsidRDefault="00CA25B4" w:rsidP="00CA25B4">
      <w:pPr>
        <w:numPr>
          <w:ilvl w:val="0"/>
          <w:numId w:val="11"/>
        </w:numPr>
      </w:pPr>
      <w:r w:rsidRPr="00CA25B4">
        <w:t xml:space="preserve">Commit to good-faith collective bargaining with teachers and education </w:t>
      </w:r>
      <w:proofErr w:type="gramStart"/>
      <w:r w:rsidRPr="00CA25B4">
        <w:t>workers, and</w:t>
      </w:r>
      <w:proofErr w:type="gramEnd"/>
      <w:r w:rsidRPr="00CA25B4">
        <w:t xml:space="preserve"> resolve disputes through negotiation and mediation</w:t>
      </w:r>
      <w:r w:rsidR="004359EA">
        <w:t>.</w:t>
      </w:r>
      <w:r w:rsidRPr="00CA25B4">
        <w:t>  </w:t>
      </w:r>
    </w:p>
    <w:p w14:paraId="128661D5" w14:textId="77777777" w:rsidR="00CA25B4" w:rsidRPr="00CA25B4" w:rsidRDefault="00CA25B4" w:rsidP="00CA25B4">
      <w:pPr>
        <w:numPr>
          <w:ilvl w:val="0"/>
          <w:numId w:val="12"/>
        </w:numPr>
      </w:pPr>
      <w:r w:rsidRPr="00CA25B4">
        <w:t>Pledge not to invoke the Notwithstanding Clause in the context of labour relations with teachers and education workers. </w:t>
      </w:r>
    </w:p>
    <w:p w14:paraId="4863D6D6" w14:textId="6D2872CA" w:rsidR="00CA25B4" w:rsidRPr="00CA25B4" w:rsidRDefault="00CA25B4" w:rsidP="00CA25B4">
      <w:pPr>
        <w:numPr>
          <w:ilvl w:val="0"/>
          <w:numId w:val="13"/>
        </w:numPr>
      </w:pPr>
      <w:r w:rsidRPr="00CA25B4">
        <w:t>Support federal action to review and restrict provincial</w:t>
      </w:r>
      <w:r w:rsidR="004359EA">
        <w:t>/territorial</w:t>
      </w:r>
      <w:r w:rsidRPr="00CA25B4">
        <w:t xml:space="preserve"> use of Section 33 when it is applied to deny citizens’ fundamental democratic and human rights. </w:t>
      </w:r>
    </w:p>
    <w:p w14:paraId="39359AE5" w14:textId="77777777" w:rsidR="00CA25B4" w:rsidRPr="00CA25B4" w:rsidRDefault="00CA25B4" w:rsidP="00CA25B4">
      <w:pPr>
        <w:numPr>
          <w:ilvl w:val="0"/>
          <w:numId w:val="14"/>
        </w:numPr>
      </w:pPr>
      <w:r w:rsidRPr="00CA25B4">
        <w:t>Ensure judicial oversight is preserved by allowing courts the opportunity to examine the constitutionality of any legislation before the Notwithstanding Clause is considered. </w:t>
      </w:r>
    </w:p>
    <w:p w14:paraId="58842426" w14:textId="77777777" w:rsidR="00CA25B4" w:rsidRPr="00CA25B4" w:rsidRDefault="00CA25B4" w:rsidP="00CA25B4">
      <w:r w:rsidRPr="00CA25B4">
        <w:t>Additionally, the Canadian Teachers’ Federation (CTF/FCE) Board of Directors has launched a petition that calls upon the federal government to </w:t>
      </w:r>
      <w:r w:rsidRPr="00CA25B4">
        <w:rPr>
          <w:i/>
          <w:iCs/>
        </w:rPr>
        <w:t>“annul or repeal any future provincial legislation that restricts workers’ rights to strike and collectively bargain through the use of the Notwithstanding Clause, and to affirm the federal government’s responsibility to uphold Charter rights across Canada.”</w:t>
      </w:r>
      <w:r w:rsidRPr="00CA25B4">
        <w:t> </w:t>
      </w:r>
    </w:p>
    <w:p w14:paraId="606BA14A" w14:textId="02F10223" w:rsidR="00CA25B4" w:rsidRPr="00CA25B4" w:rsidRDefault="00CA25B4" w:rsidP="00CA25B4">
      <w:r w:rsidRPr="00CA25B4">
        <w:lastRenderedPageBreak/>
        <w:t>The presidents of all provincial</w:t>
      </w:r>
      <w:r w:rsidR="004359EA">
        <w:t>/territorial</w:t>
      </w:r>
      <w:r w:rsidRPr="00CA25B4">
        <w:t xml:space="preserve"> teachers’ organizations strongly encourage all Canadians who share our values to add their names to this petition before it closes on July 24, 2026. The petition can be found at: </w:t>
      </w:r>
      <w:hyperlink r:id="rId7" w:tgtFrame="_blank" w:history="1">
        <w:r w:rsidRPr="00CA25B4">
          <w:rPr>
            <w:rStyle w:val="Lienhypertexte"/>
          </w:rPr>
          <w:t>https://www.ctf-fce.ca/take-action/notwithstanding-clause-petition/</w:t>
        </w:r>
      </w:hyperlink>
      <w:r w:rsidRPr="00CA25B4">
        <w:t>  </w:t>
      </w:r>
    </w:p>
    <w:p w14:paraId="1C178BC5" w14:textId="02E61915" w:rsidR="00CA25B4" w:rsidRPr="00CA25B4" w:rsidRDefault="00CA25B4" w:rsidP="00CA25B4">
      <w:r w:rsidRPr="00CA25B4">
        <w:t xml:space="preserve">It is not too late </w:t>
      </w:r>
      <w:r w:rsidR="004359EA">
        <w:t xml:space="preserve">to </w:t>
      </w:r>
      <w:r w:rsidRPr="00CA25B4">
        <w:t>act with integrity. But governments must choose to do so now. </w:t>
      </w:r>
    </w:p>
    <w:p w14:paraId="4E59D005" w14:textId="77777777" w:rsidR="00CA25B4" w:rsidRPr="00CA25B4" w:rsidRDefault="00CA25B4" w:rsidP="00CA25B4">
      <w:r w:rsidRPr="00CA25B4">
        <w:t> </w:t>
      </w:r>
    </w:p>
    <w:p w14:paraId="668E2648" w14:textId="77777777" w:rsidR="00CA25B4" w:rsidRPr="00CA25B4" w:rsidRDefault="00CA25B4" w:rsidP="00CA25B4">
      <w:r w:rsidRPr="00CA25B4">
        <w:t> </w:t>
      </w:r>
    </w:p>
    <w:p w14:paraId="765F8985" w14:textId="77777777" w:rsidR="00CA25B4" w:rsidRPr="00CA25B4" w:rsidRDefault="00CA25B4" w:rsidP="00CA25B4">
      <w:r w:rsidRPr="00CA25B4">
        <w:t> </w:t>
      </w:r>
    </w:p>
    <w:p w14:paraId="4A2BACB3" w14:textId="77777777" w:rsidR="00CA25B4" w:rsidRPr="00CA25B4" w:rsidRDefault="00CA25B4" w:rsidP="00CA25B4">
      <w:r w:rsidRPr="00CA25B4">
        <w:t> </w:t>
      </w:r>
    </w:p>
    <w:p w14:paraId="088D32C3" w14:textId="77777777" w:rsidR="00CA25B4" w:rsidRPr="00CA25B4" w:rsidRDefault="00CA25B4" w:rsidP="00CA25B4">
      <w:r w:rsidRPr="00CA25B4">
        <w:t> </w:t>
      </w:r>
    </w:p>
    <w:p w14:paraId="2BE10D40" w14:textId="77777777" w:rsidR="00CA25B4" w:rsidRPr="00CA25B4" w:rsidRDefault="00CA25B4" w:rsidP="00CA25B4">
      <w:r w:rsidRPr="00CA25B4">
        <w:rPr>
          <w:b/>
          <w:bCs/>
        </w:rPr>
        <w:t>Signatories</w:t>
      </w:r>
      <w:r w:rsidRPr="00CA25B4">
        <w:t> </w:t>
      </w:r>
    </w:p>
    <w:p w14:paraId="73C622BE" w14:textId="0EA96033" w:rsidR="00CA25B4" w:rsidRPr="00CA25B4" w:rsidRDefault="00CA25B4" w:rsidP="00CA25B4">
      <w:r w:rsidRPr="00CA25B4">
        <w:rPr>
          <w:lang w:val="en-US"/>
        </w:rPr>
        <w:t>Jason Schilling – Alberta Teachers</w:t>
      </w:r>
      <w:r w:rsidR="004359EA">
        <w:rPr>
          <w:lang w:val="en-US"/>
        </w:rPr>
        <w:t>’</w:t>
      </w:r>
      <w:r w:rsidRPr="00CA25B4">
        <w:rPr>
          <w:lang w:val="en-US"/>
        </w:rPr>
        <w:t xml:space="preserve"> Association (ATA)</w:t>
      </w:r>
      <w:r w:rsidRPr="00CA25B4">
        <w:rPr>
          <w:rFonts w:ascii="Arial" w:hAnsi="Arial" w:cs="Arial"/>
        </w:rPr>
        <w:t> </w:t>
      </w:r>
      <w:r w:rsidRPr="00CA25B4">
        <w:t> </w:t>
      </w:r>
      <w:r w:rsidRPr="00CA25B4">
        <w:br/>
      </w:r>
      <w:r w:rsidRPr="00CA25B4">
        <w:rPr>
          <w:lang w:val="en-US"/>
        </w:rPr>
        <w:t>Gabrielle Lemieux – Association des</w:t>
      </w:r>
      <w:r w:rsidRPr="00CA25B4">
        <w:rPr>
          <w:rFonts w:ascii="Arial" w:hAnsi="Arial" w:cs="Arial"/>
          <w:lang w:val="en-US"/>
        </w:rPr>
        <w:t> </w:t>
      </w:r>
      <w:proofErr w:type="spellStart"/>
      <w:r w:rsidRPr="00CA25B4">
        <w:rPr>
          <w:lang w:val="en-US"/>
        </w:rPr>
        <w:t>enseignantes</w:t>
      </w:r>
      <w:proofErr w:type="spellEnd"/>
      <w:r w:rsidRPr="00CA25B4">
        <w:rPr>
          <w:rFonts w:ascii="Arial" w:hAnsi="Arial" w:cs="Arial"/>
          <w:lang w:val="en-US"/>
        </w:rPr>
        <w:t> </w:t>
      </w:r>
      <w:r w:rsidRPr="00CA25B4">
        <w:rPr>
          <w:lang w:val="en-US"/>
        </w:rPr>
        <w:t>et des</w:t>
      </w:r>
      <w:r w:rsidRPr="00CA25B4">
        <w:rPr>
          <w:rFonts w:ascii="Arial" w:hAnsi="Arial" w:cs="Arial"/>
          <w:lang w:val="en-US"/>
        </w:rPr>
        <w:t> </w:t>
      </w:r>
      <w:proofErr w:type="spellStart"/>
      <w:r w:rsidRPr="00CA25B4">
        <w:rPr>
          <w:lang w:val="en-US"/>
        </w:rPr>
        <w:t>enseignants</w:t>
      </w:r>
      <w:proofErr w:type="spellEnd"/>
      <w:r w:rsidRPr="00CA25B4">
        <w:rPr>
          <w:rFonts w:ascii="Arial" w:hAnsi="Arial" w:cs="Arial"/>
          <w:lang w:val="en-US"/>
        </w:rPr>
        <w:t> </w:t>
      </w:r>
      <w:r w:rsidRPr="00CA25B4">
        <w:rPr>
          <w:lang w:val="en-US"/>
        </w:rPr>
        <w:t>franco-</w:t>
      </w:r>
      <w:proofErr w:type="spellStart"/>
      <w:r w:rsidRPr="00CA25B4">
        <w:rPr>
          <w:lang w:val="en-US"/>
        </w:rPr>
        <w:t>ontariens</w:t>
      </w:r>
      <w:proofErr w:type="spellEnd"/>
      <w:r w:rsidRPr="00CA25B4">
        <w:rPr>
          <w:rFonts w:ascii="Arial" w:hAnsi="Arial" w:cs="Arial"/>
          <w:lang w:val="en-US"/>
        </w:rPr>
        <w:t> </w:t>
      </w:r>
      <w:r w:rsidRPr="00CA25B4">
        <w:rPr>
          <w:lang w:val="en-US"/>
        </w:rPr>
        <w:t>(AEFO)</w:t>
      </w:r>
      <w:r w:rsidRPr="00CA25B4">
        <w:rPr>
          <w:rFonts w:ascii="Arial" w:hAnsi="Arial" w:cs="Arial"/>
        </w:rPr>
        <w:t> </w:t>
      </w:r>
      <w:r w:rsidRPr="00CA25B4">
        <w:t> </w:t>
      </w:r>
      <w:r w:rsidRPr="00CA25B4">
        <w:br/>
        <w:t>Éric Godin</w:t>
      </w:r>
      <w:r w:rsidRPr="000A286C">
        <w:t xml:space="preserve">, Association des </w:t>
      </w:r>
      <w:proofErr w:type="spellStart"/>
      <w:r w:rsidRPr="000A286C">
        <w:t>enseignantes</w:t>
      </w:r>
      <w:proofErr w:type="spellEnd"/>
      <w:r w:rsidRPr="000A286C">
        <w:t xml:space="preserve"> et des </w:t>
      </w:r>
      <w:proofErr w:type="spellStart"/>
      <w:r w:rsidRPr="000A286C">
        <w:t>enseignants</w:t>
      </w:r>
      <w:proofErr w:type="spellEnd"/>
      <w:r w:rsidRPr="000A286C">
        <w:t xml:space="preserve"> francophones du Nouveau-Brunswick, Fédération des </w:t>
      </w:r>
      <w:proofErr w:type="spellStart"/>
      <w:r w:rsidRPr="000A286C">
        <w:t>enseignants</w:t>
      </w:r>
      <w:proofErr w:type="spellEnd"/>
      <w:r w:rsidRPr="000A286C">
        <w:t xml:space="preserve"> du Nouveau-Brunswick (AEFNB/FENB)</w:t>
      </w:r>
      <w:r w:rsidRPr="00CA25B4">
        <w:rPr>
          <w:rFonts w:ascii="Arial" w:hAnsi="Arial" w:cs="Arial"/>
        </w:rPr>
        <w:t> </w:t>
      </w:r>
      <w:r w:rsidRPr="00CA25B4">
        <w:t> </w:t>
      </w:r>
      <w:r w:rsidRPr="00CA25B4">
        <w:br/>
      </w:r>
      <w:r w:rsidRPr="00CA25B4">
        <w:rPr>
          <w:lang w:val="en-US"/>
        </w:rPr>
        <w:t>Carole Gordon – British Columbia Teachers</w:t>
      </w:r>
      <w:r w:rsidR="004359EA">
        <w:rPr>
          <w:lang w:val="en-US"/>
        </w:rPr>
        <w:t>’</w:t>
      </w:r>
      <w:r w:rsidRPr="00CA25B4">
        <w:rPr>
          <w:lang w:val="en-US"/>
        </w:rPr>
        <w:t xml:space="preserve"> Federation (BCTF)</w:t>
      </w:r>
      <w:r w:rsidRPr="00CA25B4">
        <w:rPr>
          <w:rFonts w:ascii="Arial" w:hAnsi="Arial" w:cs="Arial"/>
        </w:rPr>
        <w:t> </w:t>
      </w:r>
      <w:r w:rsidRPr="00CA25B4">
        <w:t> </w:t>
      </w:r>
      <w:r w:rsidRPr="00CA25B4">
        <w:br/>
      </w:r>
      <w:r w:rsidRPr="00CA25B4">
        <w:rPr>
          <w:lang w:val="en-US"/>
        </w:rPr>
        <w:t>Clint Johnston</w:t>
      </w:r>
      <w:r w:rsidRPr="00CA25B4">
        <w:rPr>
          <w:rFonts w:ascii="Arial" w:hAnsi="Arial" w:cs="Arial"/>
          <w:lang w:val="en-US"/>
        </w:rPr>
        <w:t> </w:t>
      </w:r>
      <w:r w:rsidRPr="00CA25B4">
        <w:rPr>
          <w:rFonts w:cs="CircularXX"/>
          <w:lang w:val="en-US"/>
        </w:rPr>
        <w:t>–</w:t>
      </w:r>
      <w:r w:rsidRPr="00CA25B4">
        <w:rPr>
          <w:lang w:val="en-US"/>
        </w:rPr>
        <w:t xml:space="preserve"> Canadian Teachers</w:t>
      </w:r>
      <w:r w:rsidR="00255F5A">
        <w:rPr>
          <w:lang w:val="en-US"/>
        </w:rPr>
        <w:t>’</w:t>
      </w:r>
      <w:r w:rsidRPr="00CA25B4">
        <w:rPr>
          <w:lang w:val="en-US"/>
        </w:rPr>
        <w:t xml:space="preserve"> Federation (CTF/FCE)</w:t>
      </w:r>
      <w:r w:rsidRPr="00CA25B4">
        <w:rPr>
          <w:rFonts w:ascii="Arial" w:hAnsi="Arial" w:cs="Arial"/>
        </w:rPr>
        <w:t> </w:t>
      </w:r>
      <w:r w:rsidRPr="00CA25B4">
        <w:t> </w:t>
      </w:r>
      <w:r w:rsidRPr="00CA25B4">
        <w:br/>
      </w:r>
      <w:r w:rsidRPr="00CA25B4">
        <w:rPr>
          <w:lang w:val="en-US"/>
        </w:rPr>
        <w:t>Mona-Élise Sévigny –</w:t>
      </w:r>
      <w:r w:rsidRPr="00CA25B4">
        <w:rPr>
          <w:rFonts w:ascii="Arial" w:hAnsi="Arial" w:cs="Arial"/>
          <w:lang w:val="en-US"/>
        </w:rPr>
        <w:t> </w:t>
      </w:r>
      <w:proofErr w:type="spellStart"/>
      <w:r w:rsidRPr="00CA25B4">
        <w:rPr>
          <w:rFonts w:cs="CircularXX"/>
          <w:lang w:val="en-US"/>
        </w:rPr>
        <w:t>É</w:t>
      </w:r>
      <w:r w:rsidRPr="00CA25B4">
        <w:rPr>
          <w:lang w:val="en-US"/>
        </w:rPr>
        <w:t>ducatrices</w:t>
      </w:r>
      <w:proofErr w:type="spellEnd"/>
      <w:r w:rsidRPr="00CA25B4">
        <w:rPr>
          <w:rFonts w:ascii="Arial" w:hAnsi="Arial" w:cs="Arial"/>
          <w:lang w:val="en-US"/>
        </w:rPr>
        <w:t> </w:t>
      </w:r>
      <w:r w:rsidRPr="00CA25B4">
        <w:rPr>
          <w:lang w:val="en-US"/>
        </w:rPr>
        <w:t>et</w:t>
      </w:r>
      <w:r w:rsidRPr="00CA25B4">
        <w:rPr>
          <w:rFonts w:ascii="Arial" w:hAnsi="Arial" w:cs="Arial"/>
          <w:lang w:val="en-US"/>
        </w:rPr>
        <w:t> </w:t>
      </w:r>
      <w:proofErr w:type="spellStart"/>
      <w:r w:rsidRPr="00CA25B4">
        <w:rPr>
          <w:rFonts w:cs="CircularXX"/>
          <w:lang w:val="en-US"/>
        </w:rPr>
        <w:t>é</w:t>
      </w:r>
      <w:r w:rsidRPr="00CA25B4">
        <w:rPr>
          <w:lang w:val="en-US"/>
        </w:rPr>
        <w:t>ducateurs</w:t>
      </w:r>
      <w:proofErr w:type="spellEnd"/>
      <w:r w:rsidRPr="00CA25B4">
        <w:rPr>
          <w:rFonts w:ascii="Arial" w:hAnsi="Arial" w:cs="Arial"/>
          <w:lang w:val="en-US"/>
        </w:rPr>
        <w:t> </w:t>
      </w:r>
      <w:r w:rsidRPr="00CA25B4">
        <w:rPr>
          <w:lang w:val="en-US"/>
        </w:rPr>
        <w:t>francophones du Manitoba (</w:t>
      </w:r>
      <w:r w:rsidRPr="00CA25B4">
        <w:rPr>
          <w:rFonts w:cs="CircularXX"/>
          <w:lang w:val="en-US"/>
        </w:rPr>
        <w:t>É</w:t>
      </w:r>
      <w:r w:rsidRPr="00CA25B4">
        <w:rPr>
          <w:lang w:val="en-US"/>
        </w:rPr>
        <w:t>FM)</w:t>
      </w:r>
      <w:r w:rsidRPr="00CA25B4">
        <w:rPr>
          <w:rFonts w:ascii="Arial" w:hAnsi="Arial" w:cs="Arial"/>
        </w:rPr>
        <w:t> </w:t>
      </w:r>
      <w:r w:rsidRPr="00CA25B4">
        <w:t> </w:t>
      </w:r>
      <w:r w:rsidRPr="00CA25B4">
        <w:br/>
      </w:r>
      <w:r w:rsidRPr="00CA25B4">
        <w:rPr>
          <w:lang w:val="en-US"/>
        </w:rPr>
        <w:t>David Mastin – Elementary Teachers</w:t>
      </w:r>
      <w:r w:rsidR="004359EA">
        <w:rPr>
          <w:lang w:val="en-US"/>
        </w:rPr>
        <w:t>’</w:t>
      </w:r>
      <w:r w:rsidRPr="00CA25B4">
        <w:rPr>
          <w:lang w:val="en-US"/>
        </w:rPr>
        <w:t xml:space="preserve"> Federation of Ontario (ETFO)</w:t>
      </w:r>
      <w:r w:rsidRPr="00CA25B4">
        <w:rPr>
          <w:rFonts w:ascii="Arial" w:hAnsi="Arial" w:cs="Arial"/>
        </w:rPr>
        <w:t> </w:t>
      </w:r>
      <w:r w:rsidRPr="00CA25B4">
        <w:t> </w:t>
      </w:r>
      <w:r w:rsidRPr="00CA25B4">
        <w:br/>
      </w:r>
      <w:r w:rsidRPr="00CA25B4">
        <w:rPr>
          <w:lang w:val="en-US"/>
        </w:rPr>
        <w:t>Heidi Ryder – New Brunswick Teachers</w:t>
      </w:r>
      <w:r w:rsidR="004359EA">
        <w:rPr>
          <w:lang w:val="en-US"/>
        </w:rPr>
        <w:t>’</w:t>
      </w:r>
      <w:r w:rsidRPr="00CA25B4">
        <w:rPr>
          <w:lang w:val="en-US"/>
        </w:rPr>
        <w:t xml:space="preserve"> Association, New Brunswick Teachers’ Federation (NBTA/NBTF)</w:t>
      </w:r>
      <w:r w:rsidRPr="00CA25B4">
        <w:t> </w:t>
      </w:r>
      <w:r w:rsidRPr="00CA25B4">
        <w:rPr>
          <w:rFonts w:ascii="Arial" w:hAnsi="Arial" w:cs="Arial"/>
        </w:rPr>
        <w:t>  </w:t>
      </w:r>
      <w:r w:rsidRPr="00CA25B4">
        <w:rPr>
          <w:rFonts w:cs="CircularXX"/>
        </w:rPr>
        <w:t> </w:t>
      </w:r>
      <w:r w:rsidRPr="00CA25B4">
        <w:br/>
      </w:r>
      <w:r w:rsidRPr="00CA25B4">
        <w:rPr>
          <w:lang w:val="en-US"/>
        </w:rPr>
        <w:t>Dale Lambe – Newfoundland and Labrador Teachers</w:t>
      </w:r>
      <w:r w:rsidR="004359EA">
        <w:rPr>
          <w:lang w:val="en-US"/>
        </w:rPr>
        <w:t>’</w:t>
      </w:r>
      <w:r w:rsidRPr="00CA25B4">
        <w:rPr>
          <w:lang w:val="en-US"/>
        </w:rPr>
        <w:t xml:space="preserve"> Association (NLTA)</w:t>
      </w:r>
      <w:r w:rsidRPr="00CA25B4">
        <w:rPr>
          <w:rFonts w:ascii="Arial" w:hAnsi="Arial" w:cs="Arial"/>
        </w:rPr>
        <w:t> </w:t>
      </w:r>
      <w:r w:rsidRPr="00CA25B4">
        <w:t> </w:t>
      </w:r>
      <w:r w:rsidRPr="00CA25B4">
        <w:br/>
      </w:r>
      <w:r w:rsidRPr="00CA25B4">
        <w:rPr>
          <w:lang w:val="en-US"/>
        </w:rPr>
        <w:t>Peter Day – Nova Scotia Teachers Union (NSTU)</w:t>
      </w:r>
      <w:r w:rsidRPr="00CA25B4">
        <w:rPr>
          <w:rFonts w:ascii="Arial" w:hAnsi="Arial" w:cs="Arial"/>
        </w:rPr>
        <w:t> </w:t>
      </w:r>
      <w:r w:rsidRPr="00CA25B4">
        <w:t> </w:t>
      </w:r>
      <w:r w:rsidRPr="00CA25B4">
        <w:br/>
      </w:r>
      <w:r w:rsidRPr="00CA25B4">
        <w:rPr>
          <w:lang w:val="en-US"/>
        </w:rPr>
        <w:t>Justin Matchett – Nunavut Teachers</w:t>
      </w:r>
      <w:r w:rsidR="00255F5A">
        <w:rPr>
          <w:lang w:val="en-US"/>
        </w:rPr>
        <w:t>’</w:t>
      </w:r>
      <w:r w:rsidRPr="00CA25B4">
        <w:rPr>
          <w:lang w:val="en-US"/>
        </w:rPr>
        <w:t xml:space="preserve"> Association (NTA)</w:t>
      </w:r>
      <w:r w:rsidRPr="00CA25B4">
        <w:rPr>
          <w:rFonts w:ascii="Arial" w:hAnsi="Arial" w:cs="Arial"/>
        </w:rPr>
        <w:t> </w:t>
      </w:r>
      <w:r w:rsidRPr="00CA25B4">
        <w:t> </w:t>
      </w:r>
      <w:r w:rsidRPr="00CA25B4">
        <w:br/>
      </w:r>
      <w:r w:rsidRPr="00CA25B4">
        <w:rPr>
          <w:lang w:val="en-US"/>
        </w:rPr>
        <w:t>René Jansen in de Wal – Ontario English Catholic Teachers’ Association (OECTA)</w:t>
      </w:r>
      <w:r w:rsidRPr="00CA25B4">
        <w:rPr>
          <w:rFonts w:ascii="Arial" w:hAnsi="Arial" w:cs="Arial"/>
        </w:rPr>
        <w:t> </w:t>
      </w:r>
      <w:r w:rsidRPr="00CA25B4">
        <w:t> </w:t>
      </w:r>
      <w:r w:rsidRPr="00CA25B4">
        <w:br/>
      </w:r>
      <w:r w:rsidRPr="00CA25B4">
        <w:rPr>
          <w:lang w:val="en-US"/>
        </w:rPr>
        <w:t>Martha Hradowy – Ontario Secondary School Teachers</w:t>
      </w:r>
      <w:r w:rsidR="004359EA">
        <w:rPr>
          <w:lang w:val="en-US"/>
        </w:rPr>
        <w:t>’</w:t>
      </w:r>
      <w:r w:rsidRPr="00CA25B4">
        <w:rPr>
          <w:lang w:val="en-US"/>
        </w:rPr>
        <w:t xml:space="preserve"> Federation (OSSTF/FEESO)</w:t>
      </w:r>
      <w:r w:rsidRPr="00CA25B4">
        <w:rPr>
          <w:rFonts w:ascii="Arial" w:hAnsi="Arial" w:cs="Arial"/>
        </w:rPr>
        <w:t> </w:t>
      </w:r>
      <w:r w:rsidRPr="00CA25B4">
        <w:t> </w:t>
      </w:r>
      <w:r w:rsidRPr="00CA25B4">
        <w:br/>
      </w:r>
      <w:r w:rsidRPr="00CA25B4">
        <w:rPr>
          <w:lang w:val="en-US"/>
        </w:rPr>
        <w:t>Andy Doran – Prince Edward Island Teachers</w:t>
      </w:r>
      <w:r w:rsidR="004359EA">
        <w:rPr>
          <w:lang w:val="en-US"/>
        </w:rPr>
        <w:t>’</w:t>
      </w:r>
      <w:r w:rsidRPr="00CA25B4">
        <w:rPr>
          <w:lang w:val="en-US"/>
        </w:rPr>
        <w:t xml:space="preserve"> Federation (PEITF)</w:t>
      </w:r>
      <w:r w:rsidRPr="00CA25B4">
        <w:rPr>
          <w:rFonts w:ascii="Arial" w:hAnsi="Arial" w:cs="Arial"/>
        </w:rPr>
        <w:t> </w:t>
      </w:r>
      <w:r w:rsidRPr="00CA25B4">
        <w:t> </w:t>
      </w:r>
      <w:r w:rsidRPr="00CA25B4">
        <w:br/>
      </w:r>
      <w:r w:rsidRPr="00CA25B4">
        <w:rPr>
          <w:lang w:val="en-US"/>
        </w:rPr>
        <w:t>Samantha Becotte – Saskatchewan Teachers</w:t>
      </w:r>
      <w:r w:rsidR="004359EA">
        <w:rPr>
          <w:lang w:val="en-US"/>
        </w:rPr>
        <w:t>’</w:t>
      </w:r>
      <w:r w:rsidRPr="00CA25B4">
        <w:rPr>
          <w:lang w:val="en-US"/>
        </w:rPr>
        <w:t xml:space="preserve"> Federation (STF)</w:t>
      </w:r>
      <w:r w:rsidRPr="00CA25B4">
        <w:rPr>
          <w:rFonts w:ascii="Arial" w:hAnsi="Arial" w:cs="Arial"/>
        </w:rPr>
        <w:t> </w:t>
      </w:r>
      <w:r w:rsidRPr="00CA25B4">
        <w:t> </w:t>
      </w:r>
      <w:r w:rsidRPr="00CA25B4">
        <w:br/>
      </w:r>
      <w:r w:rsidRPr="00CA25B4">
        <w:rPr>
          <w:lang w:val="en-US"/>
        </w:rPr>
        <w:t>Ted Hupé – Yukon Association of Education Professionals (YAEP)</w:t>
      </w:r>
      <w:r w:rsidRPr="00CA25B4">
        <w:rPr>
          <w:rFonts w:ascii="Arial" w:hAnsi="Arial" w:cs="Arial"/>
        </w:rPr>
        <w:t> </w:t>
      </w:r>
      <w:r w:rsidRPr="00CA25B4">
        <w:t> </w:t>
      </w:r>
    </w:p>
    <w:p w14:paraId="132FD2B4" w14:textId="77777777" w:rsidR="00CA25B4" w:rsidRPr="00CA25B4" w:rsidRDefault="00CA25B4" w:rsidP="00CA25B4">
      <w:r w:rsidRPr="00CA25B4">
        <w:t>Chris Cowley </w:t>
      </w:r>
      <w:r w:rsidRPr="00CA25B4">
        <w:rPr>
          <w:lang w:val="en-US"/>
        </w:rPr>
        <w:t>– Ontario Teachers’ Federation (OTF)</w:t>
      </w:r>
      <w:r w:rsidRPr="00CA25B4">
        <w:t> </w:t>
      </w:r>
    </w:p>
    <w:p w14:paraId="2CB30AA6" w14:textId="6EB32BAE" w:rsidR="00CA25B4" w:rsidRPr="00CA25B4" w:rsidRDefault="00CA25B4" w:rsidP="00CA25B4">
      <w:r w:rsidRPr="00CA25B4">
        <w:t>Heidi Yetman </w:t>
      </w:r>
      <w:r w:rsidRPr="00CA25B4">
        <w:rPr>
          <w:lang w:val="en-US"/>
        </w:rPr>
        <w:t>– Quebec </w:t>
      </w:r>
      <w:r w:rsidR="004359EA">
        <w:rPr>
          <w:lang w:val="en-US"/>
        </w:rPr>
        <w:t>Provincial</w:t>
      </w:r>
      <w:r w:rsidRPr="00CA25B4">
        <w:rPr>
          <w:lang w:val="en-US"/>
        </w:rPr>
        <w:t> Association of Teachers (QPAT)</w:t>
      </w:r>
      <w:r w:rsidRPr="00CA25B4">
        <w:t> </w:t>
      </w:r>
    </w:p>
    <w:p w14:paraId="6BAC522D" w14:textId="6A9FA406" w:rsidR="00CA25B4" w:rsidRPr="00CA25B4" w:rsidRDefault="00CA25B4" w:rsidP="00CA25B4">
      <w:r w:rsidRPr="00CA25B4">
        <w:t>Rita Mueller </w:t>
      </w:r>
      <w:r w:rsidRPr="00CA25B4">
        <w:rPr>
          <w:lang w:val="en-US"/>
        </w:rPr>
        <w:t>–</w:t>
      </w:r>
      <w:r w:rsidRPr="00CA25B4">
        <w:t> Northwest Territories Teachers’ Association (NWT</w:t>
      </w:r>
      <w:r w:rsidR="004359EA">
        <w:t>T</w:t>
      </w:r>
      <w:r w:rsidRPr="00CA25B4">
        <w:t>A) </w:t>
      </w:r>
      <w:r w:rsidRPr="00CA25B4">
        <w:br/>
      </w:r>
      <w:r w:rsidRPr="00CA25B4">
        <w:rPr>
          <w:lang w:val="en-US"/>
        </w:rPr>
        <w:t>Lillian Klausen – Manitoba Teachers’ Society (MTS)</w:t>
      </w:r>
      <w:r w:rsidRPr="00CA25B4">
        <w:t> </w:t>
      </w:r>
    </w:p>
    <w:p w14:paraId="4CD97A50" w14:textId="77777777" w:rsidR="00CA25B4" w:rsidRPr="00CA25B4" w:rsidRDefault="00CA25B4" w:rsidP="00CA25B4">
      <w:r w:rsidRPr="00CA25B4">
        <w:rPr>
          <w:rFonts w:ascii="Arial" w:hAnsi="Arial" w:cs="Arial"/>
        </w:rPr>
        <w:lastRenderedPageBreak/>
        <w:t> </w:t>
      </w:r>
      <w:r w:rsidRPr="00CA25B4">
        <w:t> </w:t>
      </w:r>
    </w:p>
    <w:p w14:paraId="5DC4033D" w14:textId="77777777" w:rsidR="00244EDD" w:rsidRDefault="00244EDD"/>
    <w:sectPr w:rsidR="00244E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1932" w14:textId="77777777" w:rsidR="00B85757" w:rsidRDefault="00B85757" w:rsidP="00A37A0C">
      <w:pPr>
        <w:spacing w:after="0" w:line="240" w:lineRule="auto"/>
      </w:pPr>
      <w:r>
        <w:separator/>
      </w:r>
    </w:p>
  </w:endnote>
  <w:endnote w:type="continuationSeparator" w:id="0">
    <w:p w14:paraId="71588AE2" w14:textId="77777777" w:rsidR="00B85757" w:rsidRDefault="00B85757" w:rsidP="00A3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ircularXX">
    <w:altName w:val="Calibri"/>
    <w:panose1 w:val="020B0504010101010104"/>
    <w:charset w:val="00"/>
    <w:family w:val="swiss"/>
    <w:notTrueType/>
    <w:pitch w:val="variable"/>
    <w:sig w:usb0="A00000BF" w:usb1="5000E47B" w:usb2="00000008"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48FC" w14:textId="77777777" w:rsidR="00A37A0C" w:rsidRDefault="00A37A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00A8" w14:textId="77777777" w:rsidR="00A37A0C" w:rsidRDefault="00A37A0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3176" w14:textId="77777777" w:rsidR="00A37A0C" w:rsidRDefault="00A37A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0D6C" w14:textId="77777777" w:rsidR="00B85757" w:rsidRDefault="00B85757" w:rsidP="00A37A0C">
      <w:pPr>
        <w:spacing w:after="0" w:line="240" w:lineRule="auto"/>
      </w:pPr>
      <w:r>
        <w:separator/>
      </w:r>
    </w:p>
  </w:footnote>
  <w:footnote w:type="continuationSeparator" w:id="0">
    <w:p w14:paraId="7E129497" w14:textId="77777777" w:rsidR="00B85757" w:rsidRDefault="00B85757" w:rsidP="00A37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4D8E" w14:textId="77777777" w:rsidR="00A37A0C" w:rsidRDefault="00A37A0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0410" w14:textId="77777777" w:rsidR="00A37A0C" w:rsidRDefault="00A37A0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01F7" w14:textId="77777777" w:rsidR="00A37A0C" w:rsidRDefault="00A37A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3C1"/>
    <w:multiLevelType w:val="multilevel"/>
    <w:tmpl w:val="EBB0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921DB7"/>
    <w:multiLevelType w:val="multilevel"/>
    <w:tmpl w:val="3628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C5BA9"/>
    <w:multiLevelType w:val="multilevel"/>
    <w:tmpl w:val="3A4E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0B0ACD"/>
    <w:multiLevelType w:val="multilevel"/>
    <w:tmpl w:val="F6EE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2A79A8"/>
    <w:multiLevelType w:val="multilevel"/>
    <w:tmpl w:val="0458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1670E4"/>
    <w:multiLevelType w:val="multilevel"/>
    <w:tmpl w:val="7238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24597"/>
    <w:multiLevelType w:val="multilevel"/>
    <w:tmpl w:val="C3FA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AD3454"/>
    <w:multiLevelType w:val="multilevel"/>
    <w:tmpl w:val="6720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507F91"/>
    <w:multiLevelType w:val="multilevel"/>
    <w:tmpl w:val="6CF8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2A1856"/>
    <w:multiLevelType w:val="multilevel"/>
    <w:tmpl w:val="B09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1B5E31"/>
    <w:multiLevelType w:val="multilevel"/>
    <w:tmpl w:val="74F6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2073EA"/>
    <w:multiLevelType w:val="multilevel"/>
    <w:tmpl w:val="5594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0E3B4A"/>
    <w:multiLevelType w:val="multilevel"/>
    <w:tmpl w:val="9B9C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F3176F"/>
    <w:multiLevelType w:val="multilevel"/>
    <w:tmpl w:val="56A6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3893173">
    <w:abstractNumId w:val="13"/>
  </w:num>
  <w:num w:numId="2" w16cid:durableId="1437364068">
    <w:abstractNumId w:val="11"/>
  </w:num>
  <w:num w:numId="3" w16cid:durableId="36784168">
    <w:abstractNumId w:val="6"/>
  </w:num>
  <w:num w:numId="4" w16cid:durableId="1616518795">
    <w:abstractNumId w:val="12"/>
  </w:num>
  <w:num w:numId="5" w16cid:durableId="844975763">
    <w:abstractNumId w:val="0"/>
  </w:num>
  <w:num w:numId="6" w16cid:durableId="1407024383">
    <w:abstractNumId w:val="7"/>
  </w:num>
  <w:num w:numId="7" w16cid:durableId="1496801817">
    <w:abstractNumId w:val="5"/>
  </w:num>
  <w:num w:numId="8" w16cid:durableId="1067922085">
    <w:abstractNumId w:val="3"/>
  </w:num>
  <w:num w:numId="9" w16cid:durableId="320625261">
    <w:abstractNumId w:val="8"/>
  </w:num>
  <w:num w:numId="10" w16cid:durableId="631907447">
    <w:abstractNumId w:val="9"/>
  </w:num>
  <w:num w:numId="11" w16cid:durableId="153182067">
    <w:abstractNumId w:val="1"/>
  </w:num>
  <w:num w:numId="12" w16cid:durableId="1286348335">
    <w:abstractNumId w:val="2"/>
  </w:num>
  <w:num w:numId="13" w16cid:durableId="977413767">
    <w:abstractNumId w:val="4"/>
  </w:num>
  <w:num w:numId="14" w16cid:durableId="1016350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B4"/>
    <w:rsid w:val="000A286C"/>
    <w:rsid w:val="00244EDD"/>
    <w:rsid w:val="00255F5A"/>
    <w:rsid w:val="002E3692"/>
    <w:rsid w:val="00395ACC"/>
    <w:rsid w:val="003C3554"/>
    <w:rsid w:val="004359EA"/>
    <w:rsid w:val="00754A27"/>
    <w:rsid w:val="00810DD9"/>
    <w:rsid w:val="00814437"/>
    <w:rsid w:val="008323BF"/>
    <w:rsid w:val="00881FB3"/>
    <w:rsid w:val="00A242E2"/>
    <w:rsid w:val="00A326BA"/>
    <w:rsid w:val="00A37A0C"/>
    <w:rsid w:val="00B5089C"/>
    <w:rsid w:val="00B85757"/>
    <w:rsid w:val="00C7544E"/>
    <w:rsid w:val="00CA25B4"/>
    <w:rsid w:val="00CA542E"/>
    <w:rsid w:val="00CD3E23"/>
    <w:rsid w:val="00D674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553A"/>
  <w15:chartTrackingRefBased/>
  <w15:docId w15:val="{290AB955-14B9-4BE5-BEA7-C94815A6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FF"/>
    <w:rPr>
      <w:rFonts w:ascii="CircularXX" w:hAnsi="CircularXX"/>
      <w:sz w:val="24"/>
    </w:rPr>
  </w:style>
  <w:style w:type="paragraph" w:styleId="Titre1">
    <w:name w:val="heading 1"/>
    <w:basedOn w:val="Normal"/>
    <w:next w:val="Normal"/>
    <w:link w:val="Titre1Car"/>
    <w:uiPriority w:val="9"/>
    <w:qFormat/>
    <w:rsid w:val="00CA2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A2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A25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A25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A25B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A25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A25B4"/>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A25B4"/>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A25B4"/>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25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A25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A25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A25B4"/>
    <w:rPr>
      <w:rFonts w:eastAsiaTheme="majorEastAsia" w:cstheme="majorBidi"/>
      <w:i/>
      <w:iCs/>
      <w:color w:val="0F4761" w:themeColor="accent1" w:themeShade="BF"/>
      <w:sz w:val="24"/>
    </w:rPr>
  </w:style>
  <w:style w:type="character" w:customStyle="1" w:styleId="Titre5Car">
    <w:name w:val="Titre 5 Car"/>
    <w:basedOn w:val="Policepardfaut"/>
    <w:link w:val="Titre5"/>
    <w:uiPriority w:val="9"/>
    <w:semiHidden/>
    <w:rsid w:val="00CA25B4"/>
    <w:rPr>
      <w:rFonts w:eastAsiaTheme="majorEastAsia" w:cstheme="majorBidi"/>
      <w:color w:val="0F4761" w:themeColor="accent1" w:themeShade="BF"/>
      <w:sz w:val="24"/>
    </w:rPr>
  </w:style>
  <w:style w:type="character" w:customStyle="1" w:styleId="Titre6Car">
    <w:name w:val="Titre 6 Car"/>
    <w:basedOn w:val="Policepardfaut"/>
    <w:link w:val="Titre6"/>
    <w:uiPriority w:val="9"/>
    <w:semiHidden/>
    <w:rsid w:val="00CA25B4"/>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CA25B4"/>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CA25B4"/>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CA25B4"/>
    <w:rPr>
      <w:rFonts w:eastAsiaTheme="majorEastAsia" w:cstheme="majorBidi"/>
      <w:color w:val="272727" w:themeColor="text1" w:themeTint="D8"/>
      <w:sz w:val="24"/>
    </w:rPr>
  </w:style>
  <w:style w:type="paragraph" w:styleId="Titre">
    <w:name w:val="Title"/>
    <w:basedOn w:val="Normal"/>
    <w:next w:val="Normal"/>
    <w:link w:val="TitreCar"/>
    <w:uiPriority w:val="10"/>
    <w:qFormat/>
    <w:rsid w:val="00CA2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25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25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25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25B4"/>
    <w:pPr>
      <w:spacing w:before="160"/>
      <w:jc w:val="center"/>
    </w:pPr>
    <w:rPr>
      <w:i/>
      <w:iCs/>
      <w:color w:val="404040" w:themeColor="text1" w:themeTint="BF"/>
    </w:rPr>
  </w:style>
  <w:style w:type="character" w:customStyle="1" w:styleId="CitationCar">
    <w:name w:val="Citation Car"/>
    <w:basedOn w:val="Policepardfaut"/>
    <w:link w:val="Citation"/>
    <w:uiPriority w:val="29"/>
    <w:rsid w:val="00CA25B4"/>
    <w:rPr>
      <w:rFonts w:ascii="CircularXX" w:hAnsi="CircularXX"/>
      <w:i/>
      <w:iCs/>
      <w:color w:val="404040" w:themeColor="text1" w:themeTint="BF"/>
      <w:sz w:val="24"/>
    </w:rPr>
  </w:style>
  <w:style w:type="paragraph" w:styleId="Paragraphedeliste">
    <w:name w:val="List Paragraph"/>
    <w:basedOn w:val="Normal"/>
    <w:uiPriority w:val="34"/>
    <w:qFormat/>
    <w:rsid w:val="00CA25B4"/>
    <w:pPr>
      <w:ind w:left="720"/>
      <w:contextualSpacing/>
    </w:pPr>
  </w:style>
  <w:style w:type="character" w:styleId="Accentuationintense">
    <w:name w:val="Intense Emphasis"/>
    <w:basedOn w:val="Policepardfaut"/>
    <w:uiPriority w:val="21"/>
    <w:qFormat/>
    <w:rsid w:val="00CA25B4"/>
    <w:rPr>
      <w:i/>
      <w:iCs/>
      <w:color w:val="0F4761" w:themeColor="accent1" w:themeShade="BF"/>
    </w:rPr>
  </w:style>
  <w:style w:type="paragraph" w:styleId="Citationintense">
    <w:name w:val="Intense Quote"/>
    <w:basedOn w:val="Normal"/>
    <w:next w:val="Normal"/>
    <w:link w:val="CitationintenseCar"/>
    <w:uiPriority w:val="30"/>
    <w:qFormat/>
    <w:rsid w:val="00CA2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A25B4"/>
    <w:rPr>
      <w:rFonts w:ascii="CircularXX" w:hAnsi="CircularXX"/>
      <w:i/>
      <w:iCs/>
      <w:color w:val="0F4761" w:themeColor="accent1" w:themeShade="BF"/>
      <w:sz w:val="24"/>
    </w:rPr>
  </w:style>
  <w:style w:type="character" w:styleId="Rfrenceintense">
    <w:name w:val="Intense Reference"/>
    <w:basedOn w:val="Policepardfaut"/>
    <w:uiPriority w:val="32"/>
    <w:qFormat/>
    <w:rsid w:val="00CA25B4"/>
    <w:rPr>
      <w:b/>
      <w:bCs/>
      <w:smallCaps/>
      <w:color w:val="0F4761" w:themeColor="accent1" w:themeShade="BF"/>
      <w:spacing w:val="5"/>
    </w:rPr>
  </w:style>
  <w:style w:type="character" w:styleId="Lienhypertexte">
    <w:name w:val="Hyperlink"/>
    <w:basedOn w:val="Policepardfaut"/>
    <w:uiPriority w:val="99"/>
    <w:unhideWhenUsed/>
    <w:rsid w:val="00CA25B4"/>
    <w:rPr>
      <w:color w:val="467886" w:themeColor="hyperlink"/>
      <w:u w:val="single"/>
    </w:rPr>
  </w:style>
  <w:style w:type="character" w:styleId="Mentionnonrsolue">
    <w:name w:val="Unresolved Mention"/>
    <w:basedOn w:val="Policepardfaut"/>
    <w:uiPriority w:val="99"/>
    <w:semiHidden/>
    <w:unhideWhenUsed/>
    <w:rsid w:val="00CA25B4"/>
    <w:rPr>
      <w:color w:val="605E5C"/>
      <w:shd w:val="clear" w:color="auto" w:fill="E1DFDD"/>
    </w:rPr>
  </w:style>
  <w:style w:type="paragraph" w:styleId="Rvision">
    <w:name w:val="Revision"/>
    <w:hidden/>
    <w:uiPriority w:val="99"/>
    <w:semiHidden/>
    <w:rsid w:val="004359EA"/>
    <w:pPr>
      <w:spacing w:after="0" w:line="240" w:lineRule="auto"/>
    </w:pPr>
    <w:rPr>
      <w:rFonts w:ascii="CircularXX" w:hAnsi="CircularXX"/>
      <w:sz w:val="24"/>
    </w:rPr>
  </w:style>
  <w:style w:type="paragraph" w:styleId="En-tte">
    <w:name w:val="header"/>
    <w:basedOn w:val="Normal"/>
    <w:link w:val="En-tteCar"/>
    <w:uiPriority w:val="99"/>
    <w:unhideWhenUsed/>
    <w:rsid w:val="00A37A0C"/>
    <w:pPr>
      <w:tabs>
        <w:tab w:val="center" w:pos="4703"/>
        <w:tab w:val="right" w:pos="9406"/>
      </w:tabs>
      <w:spacing w:after="0" w:line="240" w:lineRule="auto"/>
    </w:pPr>
  </w:style>
  <w:style w:type="character" w:customStyle="1" w:styleId="En-tteCar">
    <w:name w:val="En-tête Car"/>
    <w:basedOn w:val="Policepardfaut"/>
    <w:link w:val="En-tte"/>
    <w:uiPriority w:val="99"/>
    <w:rsid w:val="00A37A0C"/>
    <w:rPr>
      <w:rFonts w:ascii="CircularXX" w:hAnsi="CircularXX"/>
      <w:sz w:val="24"/>
    </w:rPr>
  </w:style>
  <w:style w:type="paragraph" w:styleId="Pieddepage">
    <w:name w:val="footer"/>
    <w:basedOn w:val="Normal"/>
    <w:link w:val="PieddepageCar"/>
    <w:uiPriority w:val="99"/>
    <w:unhideWhenUsed/>
    <w:rsid w:val="00A37A0C"/>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A37A0C"/>
    <w:rPr>
      <w:rFonts w:ascii="CircularXX" w:hAnsi="CircularXX"/>
      <w:sz w:val="24"/>
    </w:rPr>
  </w:style>
  <w:style w:type="character" w:styleId="Marquedecommentaire">
    <w:name w:val="annotation reference"/>
    <w:basedOn w:val="Policepardfaut"/>
    <w:uiPriority w:val="99"/>
    <w:semiHidden/>
    <w:unhideWhenUsed/>
    <w:rsid w:val="00A37A0C"/>
    <w:rPr>
      <w:sz w:val="16"/>
      <w:szCs w:val="16"/>
    </w:rPr>
  </w:style>
  <w:style w:type="paragraph" w:styleId="Commentaire">
    <w:name w:val="annotation text"/>
    <w:basedOn w:val="Normal"/>
    <w:link w:val="CommentaireCar"/>
    <w:uiPriority w:val="99"/>
    <w:unhideWhenUsed/>
    <w:rsid w:val="00A37A0C"/>
    <w:pPr>
      <w:spacing w:line="240" w:lineRule="auto"/>
    </w:pPr>
    <w:rPr>
      <w:sz w:val="20"/>
      <w:szCs w:val="20"/>
    </w:rPr>
  </w:style>
  <w:style w:type="character" w:customStyle="1" w:styleId="CommentaireCar">
    <w:name w:val="Commentaire Car"/>
    <w:basedOn w:val="Policepardfaut"/>
    <w:link w:val="Commentaire"/>
    <w:uiPriority w:val="99"/>
    <w:rsid w:val="00A37A0C"/>
    <w:rPr>
      <w:rFonts w:ascii="CircularXX" w:hAnsi="CircularXX"/>
      <w:sz w:val="20"/>
      <w:szCs w:val="20"/>
    </w:rPr>
  </w:style>
  <w:style w:type="paragraph" w:styleId="Objetducommentaire">
    <w:name w:val="annotation subject"/>
    <w:basedOn w:val="Commentaire"/>
    <w:next w:val="Commentaire"/>
    <w:link w:val="ObjetducommentaireCar"/>
    <w:uiPriority w:val="99"/>
    <w:semiHidden/>
    <w:unhideWhenUsed/>
    <w:rsid w:val="00A37A0C"/>
    <w:rPr>
      <w:b/>
      <w:bCs/>
    </w:rPr>
  </w:style>
  <w:style w:type="character" w:customStyle="1" w:styleId="ObjetducommentaireCar">
    <w:name w:val="Objet du commentaire Car"/>
    <w:basedOn w:val="CommentaireCar"/>
    <w:link w:val="Objetducommentaire"/>
    <w:uiPriority w:val="99"/>
    <w:semiHidden/>
    <w:rsid w:val="00A37A0C"/>
    <w:rPr>
      <w:rFonts w:ascii="CircularXX" w:hAnsi="CircularXX"/>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ctf-fce.ca/take-action/notwithstanding-clause-petition/"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3409C465D9D428F7D655CCC25D136" ma:contentTypeVersion="11" ma:contentTypeDescription="Create a new document." ma:contentTypeScope="" ma:versionID="4188b1c8be8d3d01bf9bee3f65a63788">
  <xsd:schema xmlns:xsd="http://www.w3.org/2001/XMLSchema" xmlns:xs="http://www.w3.org/2001/XMLSchema" xmlns:p="http://schemas.microsoft.com/office/2006/metadata/properties" xmlns:ns2="d14f207e-f19c-469d-8b54-8050970ef1e7" targetNamespace="http://schemas.microsoft.com/office/2006/metadata/properties" ma:root="true" ma:fieldsID="3012676e0bfa8cb952bdd0eab3822341" ns2:_="">
    <xsd:import namespace="d14f207e-f19c-469d-8b54-8050970ef1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f207e-f19c-469d-8b54-8050970ef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730a19-bb22-4aa3-b7ca-2485ddaf00a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4f207e-f19c-469d-8b54-8050970ef1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53B723-5833-4F1F-86D0-F39E35193D9F}"/>
</file>

<file path=customXml/itemProps2.xml><?xml version="1.0" encoding="utf-8"?>
<ds:datastoreItem xmlns:ds="http://schemas.openxmlformats.org/officeDocument/2006/customXml" ds:itemID="{167DBFD7-F308-480A-BCC1-FD5B655ABDCD}"/>
</file>

<file path=customXml/itemProps3.xml><?xml version="1.0" encoding="utf-8"?>
<ds:datastoreItem xmlns:ds="http://schemas.openxmlformats.org/officeDocument/2006/customXml" ds:itemID="{FCE3C010-E25D-4B7F-A5B9-44FB66F5B7AE}"/>
</file>

<file path=docProps/app.xml><?xml version="1.0" encoding="utf-8"?>
<Properties xmlns="http://schemas.openxmlformats.org/officeDocument/2006/extended-properties" xmlns:vt="http://schemas.openxmlformats.org/officeDocument/2006/docPropsVTypes">
  <Template>Normal</Template>
  <TotalTime>2</TotalTime>
  <Pages>4</Pages>
  <Words>978</Words>
  <Characters>5383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Rolf-Carlos Klausener</dc:creator>
  <cp:keywords/>
  <dc:description/>
  <cp:lastModifiedBy>Marie-Caroline Uhel</cp:lastModifiedBy>
  <cp:revision>3</cp:revision>
  <cp:lastPrinted>2026-05-28T12:47:00Z</cp:lastPrinted>
  <dcterms:created xsi:type="dcterms:W3CDTF">2026-05-29T13:08:00Z</dcterms:created>
  <dcterms:modified xsi:type="dcterms:W3CDTF">2026-05-29T13:09:00Z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0x010100DA53409C465D9D428F7D655CCC25D136</vt:lpwstr>
  </property>
</Properties>
</file>